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C2" w:rsidRDefault="007369C2" w:rsidP="004E0B4B">
      <w:pPr>
        <w:pStyle w:val="SemEspaamento"/>
        <w:rPr>
          <w:noProof/>
          <w:lang w:eastAsia="pt-BR"/>
        </w:rPr>
      </w:pPr>
      <w:r>
        <w:rPr>
          <w:noProof/>
          <w:lang w:eastAsia="pt-BR"/>
        </w:rPr>
        <w:drawing>
          <wp:inline distT="0" distB="0" distL="0" distR="0" wp14:anchorId="3EEBD6C9" wp14:editId="789BA88B">
            <wp:extent cx="971550" cy="388620"/>
            <wp:effectExtent l="0" t="0" r="0" b="0"/>
            <wp:docPr id="1" name="Imagem 0" descr="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Imagem 0" descr="Figura2.jpg"/>
                    <pic:cNvPicPr>
                      <a:picLocks noChangeAspect="1" noChangeArrowheads="1"/>
                    </pic:cNvPicPr>
                  </pic:nvPicPr>
                  <pic:blipFill>
                    <a:blip r:embed="rId5"/>
                    <a:srcRect/>
                    <a:stretch>
                      <a:fillRect/>
                    </a:stretch>
                  </pic:blipFill>
                  <pic:spPr bwMode="auto">
                    <a:xfrm>
                      <a:off x="0" y="0"/>
                      <a:ext cx="972113" cy="388845"/>
                    </a:xfrm>
                    <a:prstGeom prst="rect">
                      <a:avLst/>
                    </a:prstGeom>
                    <a:noFill/>
                  </pic:spPr>
                </pic:pic>
              </a:graphicData>
            </a:graphic>
          </wp:inline>
        </w:drawing>
      </w:r>
    </w:p>
    <w:p w:rsidR="007369C2" w:rsidRDefault="007369C2" w:rsidP="007369C2">
      <w:pPr>
        <w:rPr>
          <w:noProof/>
          <w:lang w:eastAsia="pt-BR"/>
        </w:rPr>
      </w:pPr>
    </w:p>
    <w:p w:rsidR="007369C2" w:rsidRDefault="007369C2" w:rsidP="007369C2">
      <w:pPr>
        <w:spacing w:after="0" w:line="240" w:lineRule="auto"/>
        <w:jc w:val="center"/>
        <w:textAlignment w:val="baseline"/>
        <w:rPr>
          <w:rFonts w:ascii="Cambria" w:eastAsia="Times New Roman" w:hAnsi="Cambria" w:cs="Times New Roman"/>
          <w:b/>
          <w:bCs/>
          <w:color w:val="000000" w:themeColor="text1"/>
          <w:kern w:val="24"/>
          <w:position w:val="1"/>
          <w:sz w:val="40"/>
          <w:szCs w:val="40"/>
          <w:lang w:eastAsia="pt-BR"/>
        </w:rPr>
      </w:pPr>
      <w:r w:rsidRPr="009A0C03">
        <w:rPr>
          <w:rFonts w:ascii="Cambria" w:eastAsia="Times New Roman" w:hAnsi="Cambria" w:cs="Times New Roman"/>
          <w:b/>
          <w:bCs/>
          <w:color w:val="000000" w:themeColor="text1"/>
          <w:kern w:val="24"/>
          <w:position w:val="1"/>
          <w:sz w:val="40"/>
          <w:szCs w:val="40"/>
          <w:lang w:eastAsia="pt-BR"/>
        </w:rPr>
        <w:t>Relatório de Pesquisa Quantitativa</w:t>
      </w:r>
    </w:p>
    <w:p w:rsidR="007369C2" w:rsidRDefault="007369C2" w:rsidP="007369C2">
      <w:pPr>
        <w:spacing w:after="0" w:line="240" w:lineRule="auto"/>
        <w:jc w:val="center"/>
        <w:textAlignment w:val="baseline"/>
        <w:rPr>
          <w:rFonts w:ascii="Cambria" w:eastAsia="Times New Roman" w:hAnsi="Cambria" w:cs="Times New Roman"/>
          <w:b/>
          <w:bCs/>
          <w:color w:val="000000" w:themeColor="text1"/>
          <w:kern w:val="24"/>
          <w:position w:val="1"/>
          <w:sz w:val="40"/>
          <w:szCs w:val="40"/>
          <w:lang w:eastAsia="pt-BR"/>
        </w:rPr>
      </w:pPr>
    </w:p>
    <w:p w:rsidR="007369C2" w:rsidRDefault="007369C2" w:rsidP="007369C2">
      <w:pPr>
        <w:spacing w:after="0" w:line="240" w:lineRule="auto"/>
        <w:jc w:val="center"/>
        <w:textAlignment w:val="baseline"/>
        <w:rPr>
          <w:rFonts w:ascii="Cambria" w:eastAsia="Times New Roman" w:hAnsi="Cambria" w:cs="Times New Roman"/>
          <w:b/>
          <w:bCs/>
          <w:color w:val="000000" w:themeColor="text1"/>
          <w:kern w:val="24"/>
          <w:position w:val="1"/>
          <w:sz w:val="40"/>
          <w:szCs w:val="40"/>
          <w:lang w:eastAsia="pt-BR"/>
        </w:rPr>
      </w:pPr>
      <w:r>
        <w:rPr>
          <w:rFonts w:ascii="Cambria" w:eastAsia="Times New Roman" w:hAnsi="Cambria" w:cs="Times New Roman"/>
          <w:b/>
          <w:bCs/>
          <w:color w:val="000000" w:themeColor="text1"/>
          <w:kern w:val="24"/>
          <w:position w:val="1"/>
          <w:sz w:val="40"/>
          <w:szCs w:val="40"/>
          <w:lang w:eastAsia="pt-BR"/>
        </w:rPr>
        <w:t>Sertânia</w:t>
      </w:r>
    </w:p>
    <w:p w:rsidR="007369C2" w:rsidRDefault="007369C2" w:rsidP="007369C2">
      <w:pPr>
        <w:spacing w:after="0" w:line="240" w:lineRule="auto"/>
        <w:jc w:val="center"/>
        <w:textAlignment w:val="baseline"/>
        <w:rPr>
          <w:rFonts w:ascii="Cambria" w:eastAsia="Times New Roman" w:hAnsi="Cambria" w:cs="Times New Roman"/>
          <w:b/>
          <w:bCs/>
          <w:color w:val="000000" w:themeColor="text1"/>
          <w:kern w:val="24"/>
          <w:position w:val="1"/>
          <w:sz w:val="40"/>
          <w:szCs w:val="40"/>
          <w:lang w:eastAsia="pt-BR"/>
        </w:rPr>
      </w:pPr>
    </w:p>
    <w:p w:rsidR="007369C2" w:rsidRDefault="007369C2" w:rsidP="007369C2">
      <w:pPr>
        <w:spacing w:after="0" w:line="240" w:lineRule="auto"/>
        <w:jc w:val="center"/>
        <w:textAlignment w:val="baseline"/>
        <w:rPr>
          <w:rFonts w:ascii="Cambria" w:eastAsia="Times New Roman" w:hAnsi="Cambria" w:cs="Times New Roman"/>
          <w:b/>
          <w:bCs/>
          <w:color w:val="000000" w:themeColor="text1"/>
          <w:kern w:val="24"/>
          <w:position w:val="1"/>
          <w:sz w:val="40"/>
          <w:szCs w:val="40"/>
          <w:lang w:eastAsia="pt-BR"/>
        </w:rPr>
      </w:pPr>
    </w:p>
    <w:p w:rsidR="007369C2" w:rsidRDefault="007369C2" w:rsidP="007369C2">
      <w:pPr>
        <w:spacing w:after="0" w:line="240" w:lineRule="auto"/>
        <w:jc w:val="center"/>
        <w:textAlignment w:val="baseline"/>
        <w:rPr>
          <w:rFonts w:ascii="Cambria" w:eastAsia="Times New Roman" w:hAnsi="Cambria" w:cs="Times New Roman"/>
          <w:b/>
          <w:bCs/>
          <w:color w:val="000000" w:themeColor="text1"/>
          <w:kern w:val="24"/>
          <w:position w:val="1"/>
          <w:sz w:val="40"/>
          <w:szCs w:val="40"/>
          <w:lang w:eastAsia="pt-BR"/>
        </w:rPr>
      </w:pPr>
    </w:p>
    <w:p w:rsidR="007369C2" w:rsidRDefault="007369C2" w:rsidP="007369C2">
      <w:pPr>
        <w:spacing w:after="0" w:line="240" w:lineRule="auto"/>
        <w:jc w:val="center"/>
        <w:textAlignment w:val="baseline"/>
        <w:rPr>
          <w:rFonts w:ascii="Cambria" w:eastAsia="Times New Roman" w:hAnsi="Cambria" w:cs="Times New Roman"/>
          <w:b/>
          <w:bCs/>
          <w:color w:val="000000" w:themeColor="text1"/>
          <w:kern w:val="24"/>
          <w:position w:val="1"/>
          <w:sz w:val="40"/>
          <w:szCs w:val="40"/>
          <w:lang w:eastAsia="pt-BR"/>
        </w:rPr>
      </w:pPr>
    </w:p>
    <w:p w:rsidR="007369C2" w:rsidRDefault="007369C2" w:rsidP="007369C2">
      <w:pPr>
        <w:spacing w:after="0" w:line="240" w:lineRule="auto"/>
        <w:textAlignment w:val="baseline"/>
        <w:rPr>
          <w:rFonts w:ascii="Times New Roman" w:eastAsia="Times New Roman" w:hAnsi="Times New Roman" w:cs="Times New Roman"/>
          <w:sz w:val="40"/>
          <w:szCs w:val="40"/>
          <w:lang w:eastAsia="pt-BR"/>
        </w:rPr>
      </w:pPr>
      <w:r w:rsidRPr="009A0C03">
        <w:rPr>
          <w:noProof/>
          <w:sz w:val="40"/>
          <w:szCs w:val="40"/>
          <w:lang w:eastAsia="pt-BR"/>
        </w:rPr>
        <mc:AlternateContent>
          <mc:Choice Requires="wps">
            <w:drawing>
              <wp:anchor distT="0" distB="0" distL="114300" distR="114300" simplePos="0" relativeHeight="251659264" behindDoc="0" locked="0" layoutInCell="1" allowOverlap="1" wp14:anchorId="392738A8" wp14:editId="30B55FEC">
                <wp:simplePos x="0" y="0"/>
                <wp:positionH relativeFrom="margin">
                  <wp:align>left</wp:align>
                </wp:positionH>
                <wp:positionV relativeFrom="paragraph">
                  <wp:posOffset>4130040</wp:posOffset>
                </wp:positionV>
                <wp:extent cx="5286375" cy="1028700"/>
                <wp:effectExtent l="209550" t="57150" r="47625" b="190500"/>
                <wp:wrapNone/>
                <wp:docPr id="205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028700"/>
                        </a:xfrm>
                        <a:prstGeom prst="flowChartDocument">
                          <a:avLst/>
                        </a:prstGeom>
                        <a:solidFill>
                          <a:srgbClr val="8DB3E2"/>
                        </a:solidFill>
                        <a:ln w="12700">
                          <a:prstDash val="dash"/>
                          <a:miter lim="800000"/>
                          <a:headEnd/>
                          <a:tailEnd/>
                        </a:ln>
                        <a:effectLst/>
                        <a:scene3d>
                          <a:camera prst="legacyObliqueBottomLeft"/>
                          <a:lightRig rig="legacyFlat3" dir="t"/>
                        </a:scene3d>
                        <a:sp3d extrusionH="430200" prstMaterial="legacyMatte">
                          <a:bevelT w="13500" h="13500" prst="angle"/>
                          <a:bevelB w="13500" h="13500" prst="angle"/>
                          <a:extrusionClr>
                            <a:srgbClr val="8DB3E2"/>
                          </a:extrusionClr>
                        </a:sp3d>
                      </wps:spPr>
                      <wps:txbx>
                        <w:txbxContent>
                          <w:p w:rsidR="007369C2" w:rsidRDefault="007369C2" w:rsidP="007369C2">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position w:val="1"/>
                                <w:sz w:val="56"/>
                                <w:szCs w:val="56"/>
                              </w:rPr>
                              <w:t>Administrativa</w:t>
                            </w:r>
                          </w:p>
                        </w:txbxContent>
                      </wps:txbx>
                      <wps:bodyPr vert="horz" wrap="square" lIns="91440" tIns="45720" rIns="91440" bIns="45720" numCol="1" anchor="t" anchorCtr="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2738A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6" type="#_x0000_t114" style="position:absolute;margin-left:0;margin-top:325.2pt;width:416.25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" fillcolor="#8db3e2">
                <o:extrusion v:ext="view" color="#8db3e2" on="t" viewpoint="-34.72222mm,34.72222mm" viewpointorigin="-.5,.5" skewangle="45" lightposition="-50000" lightposition2="50000"/>
                <v:textbox>
                  <w:txbxContent>
                    <w:p w:rsidR="007369C2" w:rsidRDefault="007369C2" w:rsidP="007369C2">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position w:val="1"/>
                          <w:sz w:val="56"/>
                          <w:szCs w:val="56"/>
                        </w:rPr>
                        <w:t>Administrativa</w:t>
                      </w:r>
                    </w:p>
                  </w:txbxContent>
                </v:textbox>
                <w10:wrap anchorx="margin"/>
              </v:shape>
            </w:pict>
          </mc:Fallback>
        </mc:AlternateContent>
      </w:r>
      <w:r>
        <w:rPr>
          <w:noProof/>
          <w:lang w:eastAsia="pt-BR"/>
        </w:rPr>
        <w:drawing>
          <wp:inline distT="0" distB="0" distL="0" distR="0" wp14:anchorId="392DA0E0" wp14:editId="2681776F">
            <wp:extent cx="1876425" cy="1647190"/>
            <wp:effectExtent l="0" t="0" r="9525" b="0"/>
            <wp:docPr id="2" name="Imagem 1" descr="Resultado de imagem para fotos sertania pernamb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m 1" descr="Resultado de imagem para fotos sertania pernambuco"/>
                    <pic:cNvPicPr>
                      <a:picLocks noChangeAspect="1" noChangeArrowheads="1"/>
                    </pic:cNvPicPr>
                  </pic:nvPicPr>
                  <pic:blipFill>
                    <a:blip r:embed="rId6"/>
                    <a:srcRect/>
                    <a:stretch>
                      <a:fillRect/>
                    </a:stretch>
                  </pic:blipFill>
                  <pic:spPr bwMode="auto">
                    <a:xfrm rot="10800000" flipV="1">
                      <a:off x="0" y="0"/>
                      <a:ext cx="2048483" cy="1798228"/>
                    </a:xfrm>
                    <a:prstGeom prst="rect">
                      <a:avLst/>
                    </a:prstGeom>
                    <a:noFill/>
                  </pic:spPr>
                </pic:pic>
              </a:graphicData>
            </a:graphic>
          </wp:inline>
        </w:drawing>
      </w:r>
      <w:r>
        <w:rPr>
          <w:noProof/>
          <w:lang w:eastAsia="pt-BR"/>
        </w:rPr>
        <w:drawing>
          <wp:inline distT="0" distB="0" distL="0" distR="0" wp14:anchorId="4FCFB0CB" wp14:editId="6DBE42EB">
            <wp:extent cx="1790700" cy="1628140"/>
            <wp:effectExtent l="0" t="0" r="0" b="0"/>
            <wp:docPr id="3" name="Imagem 4" descr="Resultado de imagem para fotos sertania pernamb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m 4" descr="Resultado de imagem para fotos sertania pernambuco"/>
                    <pic:cNvPicPr>
                      <a:picLocks noChangeAspect="1" noChangeArrowheads="1"/>
                    </pic:cNvPicPr>
                  </pic:nvPicPr>
                  <pic:blipFill>
                    <a:blip r:embed="rId7"/>
                    <a:srcRect/>
                    <a:stretch>
                      <a:fillRect/>
                    </a:stretch>
                  </pic:blipFill>
                  <pic:spPr bwMode="auto">
                    <a:xfrm>
                      <a:off x="0" y="0"/>
                      <a:ext cx="1794503" cy="1631598"/>
                    </a:xfrm>
                    <a:prstGeom prst="rect">
                      <a:avLst/>
                    </a:prstGeom>
                    <a:noFill/>
                  </pic:spPr>
                </pic:pic>
              </a:graphicData>
            </a:graphic>
          </wp:inline>
        </w:drawing>
      </w:r>
      <w:r>
        <w:rPr>
          <w:noProof/>
          <w:lang w:eastAsia="pt-BR"/>
        </w:rPr>
        <w:drawing>
          <wp:inline distT="0" distB="0" distL="0" distR="0" wp14:anchorId="371A3625" wp14:editId="039BFE30">
            <wp:extent cx="1647825" cy="1590040"/>
            <wp:effectExtent l="0" t="0" r="9525" b="0"/>
            <wp:docPr id="4" name="Imagem 7" descr="Resultado de imagem para fotos sertania pernamb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m 7" descr="Resultado de imagem para fotos sertania pernambuco"/>
                    <pic:cNvPicPr>
                      <a:picLocks noChangeAspect="1" noChangeArrowheads="1"/>
                    </pic:cNvPicPr>
                  </pic:nvPicPr>
                  <pic:blipFill>
                    <a:blip r:embed="rId8"/>
                    <a:srcRect/>
                    <a:stretch>
                      <a:fillRect/>
                    </a:stretch>
                  </pic:blipFill>
                  <pic:spPr bwMode="auto">
                    <a:xfrm>
                      <a:off x="0" y="0"/>
                      <a:ext cx="1657431" cy="1599309"/>
                    </a:xfrm>
                    <a:prstGeom prst="rect">
                      <a:avLst/>
                    </a:prstGeom>
                    <a:noFill/>
                  </pic:spPr>
                </pic:pic>
              </a:graphicData>
            </a:graphic>
          </wp:inline>
        </w:drawing>
      </w:r>
    </w:p>
    <w:p w:rsidR="007369C2" w:rsidRDefault="007369C2" w:rsidP="007369C2">
      <w:pPr>
        <w:spacing w:after="0" w:line="240" w:lineRule="auto"/>
        <w:textAlignment w:val="baseline"/>
        <w:rPr>
          <w:rFonts w:ascii="Times New Roman" w:eastAsia="Times New Roman" w:hAnsi="Times New Roman" w:cs="Times New Roman"/>
          <w:sz w:val="40"/>
          <w:szCs w:val="40"/>
          <w:lang w:eastAsia="pt-BR"/>
        </w:rPr>
      </w:pPr>
    </w:p>
    <w:p w:rsidR="007369C2" w:rsidRDefault="007369C2" w:rsidP="007369C2">
      <w:pPr>
        <w:spacing w:after="0" w:line="240" w:lineRule="auto"/>
        <w:textAlignment w:val="baseline"/>
        <w:rPr>
          <w:rFonts w:ascii="Times New Roman" w:eastAsia="Times New Roman" w:hAnsi="Times New Roman" w:cs="Times New Roman"/>
          <w:sz w:val="40"/>
          <w:szCs w:val="40"/>
          <w:lang w:eastAsia="pt-BR"/>
        </w:rPr>
      </w:pPr>
    </w:p>
    <w:p w:rsidR="007369C2" w:rsidRDefault="007369C2" w:rsidP="007369C2">
      <w:pPr>
        <w:spacing w:after="0" w:line="240" w:lineRule="auto"/>
        <w:textAlignment w:val="baseline"/>
        <w:rPr>
          <w:rFonts w:ascii="Times New Roman" w:eastAsia="Times New Roman" w:hAnsi="Times New Roman" w:cs="Times New Roman"/>
          <w:sz w:val="40"/>
          <w:szCs w:val="40"/>
          <w:lang w:eastAsia="pt-BR"/>
        </w:rPr>
      </w:pPr>
    </w:p>
    <w:p w:rsidR="007369C2" w:rsidRDefault="007369C2" w:rsidP="007369C2">
      <w:pPr>
        <w:rPr>
          <w:rFonts w:ascii="Times New Roman" w:eastAsia="Times New Roman" w:hAnsi="Times New Roman" w:cs="Times New Roman"/>
          <w:sz w:val="40"/>
          <w:szCs w:val="40"/>
          <w:lang w:eastAsia="pt-BR"/>
        </w:rPr>
      </w:pPr>
      <w:r>
        <w:rPr>
          <w:rFonts w:ascii="Times New Roman" w:eastAsia="Times New Roman" w:hAnsi="Times New Roman" w:cs="Times New Roman"/>
          <w:sz w:val="40"/>
          <w:szCs w:val="40"/>
          <w:lang w:eastAsia="pt-BR"/>
        </w:rPr>
        <w:br w:type="page"/>
      </w:r>
    </w:p>
    <w:p w:rsidR="007369C2" w:rsidRPr="009A0C03" w:rsidRDefault="007369C2" w:rsidP="007369C2">
      <w:pPr>
        <w:tabs>
          <w:tab w:val="right" w:pos="8365"/>
        </w:tabs>
        <w:spacing w:after="0" w:line="240" w:lineRule="auto"/>
        <w:ind w:left="-454" w:right="-510"/>
        <w:textAlignment w:val="baseline"/>
        <w:rPr>
          <w:rFonts w:ascii="Times New Roman" w:eastAsia="Times New Roman" w:hAnsi="Times New Roman" w:cs="Times New Roman"/>
          <w:sz w:val="28"/>
          <w:szCs w:val="28"/>
          <w:lang w:eastAsia="pt-BR"/>
        </w:rPr>
      </w:pPr>
      <w:r w:rsidRPr="009A0C03">
        <w:rPr>
          <w:rFonts w:ascii="Calibri" w:eastAsia="Times New Roman" w:hAnsi="Calibri" w:cs="Times New Roman"/>
          <w:b/>
          <w:bCs/>
          <w:color w:val="000000" w:themeColor="text1"/>
          <w:kern w:val="24"/>
          <w:sz w:val="28"/>
          <w:szCs w:val="28"/>
          <w:u w:val="single"/>
          <w:lang w:eastAsia="pt-BR"/>
        </w:rPr>
        <w:lastRenderedPageBreak/>
        <w:t>DADOS T</w:t>
      </w:r>
      <w:r w:rsidRPr="009A0C03">
        <w:rPr>
          <w:rFonts w:ascii="Cambria" w:eastAsia="Times New Roman" w:hAnsi="Cambria" w:cs="Times New Roman"/>
          <w:b/>
          <w:bCs/>
          <w:color w:val="000000" w:themeColor="text1"/>
          <w:kern w:val="24"/>
          <w:sz w:val="28"/>
          <w:szCs w:val="28"/>
          <w:u w:val="single"/>
          <w:lang w:eastAsia="pt-BR"/>
        </w:rPr>
        <w:t>É</w:t>
      </w:r>
      <w:r w:rsidRPr="009A0C03">
        <w:rPr>
          <w:rFonts w:ascii="Calibri" w:eastAsia="Times New Roman" w:hAnsi="Calibri" w:cs="Times New Roman"/>
          <w:b/>
          <w:bCs/>
          <w:color w:val="000000" w:themeColor="text1"/>
          <w:kern w:val="24"/>
          <w:sz w:val="28"/>
          <w:szCs w:val="28"/>
          <w:u w:val="single"/>
          <w:lang w:eastAsia="pt-BR"/>
        </w:rPr>
        <w:t>CNICOS</w:t>
      </w:r>
    </w:p>
    <w:p w:rsidR="007369C2" w:rsidRPr="009A0C03" w:rsidRDefault="007369C2" w:rsidP="007369C2">
      <w:pPr>
        <w:tabs>
          <w:tab w:val="right" w:pos="8365"/>
        </w:tabs>
        <w:kinsoku w:val="0"/>
        <w:overflowPunct w:val="0"/>
        <w:spacing w:after="0" w:line="240" w:lineRule="auto"/>
        <w:ind w:left="-454" w:right="-510"/>
        <w:jc w:val="both"/>
        <w:textAlignment w:val="baseline"/>
        <w:rPr>
          <w:rFonts w:ascii="Times New Roman" w:eastAsia="Times New Roman" w:hAnsi="Times New Roman" w:cs="Times New Roman"/>
          <w:sz w:val="24"/>
          <w:szCs w:val="24"/>
          <w:lang w:eastAsia="pt-BR"/>
        </w:rPr>
      </w:pPr>
      <w:r w:rsidRPr="009A0C03">
        <w:rPr>
          <w:rFonts w:ascii="Calibri" w:eastAsia="Times New Roman" w:hAnsi="Calibri" w:cs="Times New Roman"/>
          <w:b/>
          <w:bCs/>
          <w:color w:val="000000" w:themeColor="text1"/>
          <w:kern w:val="24"/>
          <w:sz w:val="28"/>
          <w:szCs w:val="28"/>
          <w:u w:val="single"/>
          <w:lang w:eastAsia="pt-BR"/>
        </w:rPr>
        <w:t>Universo</w:t>
      </w:r>
      <w:r w:rsidRPr="009A0C03">
        <w:rPr>
          <w:rFonts w:ascii="Calibri" w:eastAsia="Times New Roman" w:hAnsi="Calibri" w:cs="Times New Roman"/>
          <w:color w:val="000000" w:themeColor="text1"/>
          <w:kern w:val="24"/>
          <w:sz w:val="24"/>
          <w:szCs w:val="24"/>
          <w:lang w:eastAsia="pt-BR"/>
        </w:rPr>
        <w:t xml:space="preserve">: </w:t>
      </w:r>
      <w:r w:rsidRPr="009A0C03">
        <w:rPr>
          <w:rFonts w:ascii="Calibri" w:eastAsia="Times New Roman" w:hAnsi="Calibri" w:cs="Times New Roman"/>
          <w:b/>
          <w:bCs/>
          <w:color w:val="000000" w:themeColor="text1"/>
          <w:kern w:val="24"/>
          <w:sz w:val="24"/>
          <w:szCs w:val="24"/>
          <w:lang w:eastAsia="pt-BR"/>
        </w:rPr>
        <w:t xml:space="preserve"> Popula</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ão com 16 anos ou mais que resida e vote no munic</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pio de Sertânia</w:t>
      </w:r>
    </w:p>
    <w:p w:rsidR="007369C2" w:rsidRDefault="007369C2" w:rsidP="007369C2">
      <w:pPr>
        <w:tabs>
          <w:tab w:val="right" w:pos="8365"/>
        </w:tabs>
        <w:kinsoku w:val="0"/>
        <w:overflowPunct w:val="0"/>
        <w:spacing w:after="0" w:line="240" w:lineRule="auto"/>
        <w:ind w:left="-454" w:right="-510"/>
        <w:jc w:val="both"/>
        <w:textAlignment w:val="baseline"/>
        <w:rPr>
          <w:rFonts w:ascii="Calibri" w:eastAsia="Times New Roman" w:hAnsi="Calibri" w:cs="Times New Roman"/>
          <w:b/>
          <w:bCs/>
          <w:color w:val="000000" w:themeColor="text1"/>
          <w:kern w:val="24"/>
          <w:sz w:val="24"/>
          <w:szCs w:val="24"/>
          <w:lang w:eastAsia="pt-BR"/>
        </w:rPr>
      </w:pPr>
      <w:r w:rsidRPr="009A0C03">
        <w:rPr>
          <w:rFonts w:ascii="Calibri" w:eastAsia="Times New Roman" w:hAnsi="Calibri" w:cs="Times New Roman"/>
          <w:b/>
          <w:bCs/>
          <w:color w:val="000000" w:themeColor="text1"/>
          <w:kern w:val="24"/>
          <w:sz w:val="28"/>
          <w:szCs w:val="28"/>
          <w:u w:val="single"/>
          <w:lang w:eastAsia="pt-BR"/>
        </w:rPr>
        <w:t>Objetivo</w:t>
      </w:r>
      <w:r w:rsidRPr="009A0C03">
        <w:rPr>
          <w:rFonts w:ascii="Calibri" w:eastAsia="Times New Roman" w:hAnsi="Calibri" w:cs="Times New Roman"/>
          <w:b/>
          <w:bCs/>
          <w:color w:val="000000" w:themeColor="text1"/>
          <w:kern w:val="24"/>
          <w:sz w:val="24"/>
          <w:szCs w:val="24"/>
          <w:lang w:eastAsia="pt-BR"/>
        </w:rPr>
        <w:t xml:space="preserve">: O estudo tem por objetivo </w:t>
      </w:r>
      <w:r>
        <w:rPr>
          <w:rFonts w:ascii="Calibri" w:eastAsia="Times New Roman" w:hAnsi="Calibri" w:cs="Times New Roman"/>
          <w:b/>
          <w:bCs/>
          <w:color w:val="000000" w:themeColor="text1"/>
          <w:kern w:val="24"/>
          <w:sz w:val="24"/>
          <w:szCs w:val="24"/>
          <w:lang w:eastAsia="pt-BR"/>
        </w:rPr>
        <w:t>aferir o percentual de satisfação da população com o governo municipal</w:t>
      </w:r>
    </w:p>
    <w:p w:rsidR="007369C2" w:rsidRPr="009A0C03" w:rsidRDefault="007369C2" w:rsidP="007369C2">
      <w:pPr>
        <w:tabs>
          <w:tab w:val="right" w:pos="8365"/>
        </w:tabs>
        <w:kinsoku w:val="0"/>
        <w:overflowPunct w:val="0"/>
        <w:spacing w:after="0" w:line="240" w:lineRule="auto"/>
        <w:ind w:left="-454" w:right="-510"/>
        <w:jc w:val="both"/>
        <w:textAlignment w:val="baseline"/>
        <w:rPr>
          <w:rFonts w:ascii="Times New Roman" w:eastAsia="Times New Roman" w:hAnsi="Times New Roman" w:cs="Times New Roman"/>
          <w:sz w:val="24"/>
          <w:szCs w:val="24"/>
          <w:lang w:eastAsia="pt-BR"/>
        </w:rPr>
      </w:pPr>
      <w:r w:rsidRPr="009A0C03">
        <w:rPr>
          <w:rFonts w:ascii="Calibri" w:eastAsia="Times New Roman" w:hAnsi="Calibri" w:cs="Times New Roman"/>
          <w:b/>
          <w:bCs/>
          <w:color w:val="000000" w:themeColor="text1"/>
          <w:kern w:val="24"/>
          <w:sz w:val="28"/>
          <w:szCs w:val="28"/>
          <w:u w:val="single"/>
          <w:lang w:eastAsia="pt-BR"/>
        </w:rPr>
        <w:t>Per</w:t>
      </w:r>
      <w:r w:rsidRPr="009A0C03">
        <w:rPr>
          <w:rFonts w:ascii="Cambria" w:eastAsia="Times New Roman" w:hAnsi="Cambria" w:cs="Times New Roman"/>
          <w:b/>
          <w:bCs/>
          <w:color w:val="000000" w:themeColor="text1"/>
          <w:kern w:val="24"/>
          <w:sz w:val="28"/>
          <w:szCs w:val="28"/>
          <w:u w:val="single"/>
          <w:lang w:eastAsia="pt-BR"/>
        </w:rPr>
        <w:t>í</w:t>
      </w:r>
      <w:r w:rsidRPr="009A0C03">
        <w:rPr>
          <w:rFonts w:ascii="Calibri" w:eastAsia="Times New Roman" w:hAnsi="Calibri" w:cs="Times New Roman"/>
          <w:b/>
          <w:bCs/>
          <w:color w:val="000000" w:themeColor="text1"/>
          <w:kern w:val="24"/>
          <w:sz w:val="28"/>
          <w:szCs w:val="28"/>
          <w:u w:val="single"/>
          <w:lang w:eastAsia="pt-BR"/>
        </w:rPr>
        <w:t>odo de campo</w:t>
      </w:r>
      <w:r w:rsidRPr="009A0C03">
        <w:rPr>
          <w:rFonts w:ascii="Calibri" w:eastAsia="Times New Roman" w:hAnsi="Calibri" w:cs="Times New Roman"/>
          <w:b/>
          <w:bCs/>
          <w:color w:val="000000" w:themeColor="text1"/>
          <w:kern w:val="24"/>
          <w:sz w:val="24"/>
          <w:szCs w:val="24"/>
          <w:lang w:eastAsia="pt-BR"/>
        </w:rPr>
        <w:t xml:space="preserve">: </w:t>
      </w:r>
      <w:bookmarkStart w:id="0" w:name="_GoBack"/>
      <w:r>
        <w:rPr>
          <w:rFonts w:ascii="Calibri" w:eastAsia="Times New Roman" w:hAnsi="Calibri" w:cs="Times New Roman"/>
          <w:b/>
          <w:bCs/>
          <w:color w:val="000000" w:themeColor="text1"/>
          <w:kern w:val="24"/>
          <w:sz w:val="24"/>
          <w:szCs w:val="24"/>
          <w:lang w:eastAsia="pt-BR"/>
        </w:rPr>
        <w:t>27 e 28/12/2018</w:t>
      </w:r>
      <w:bookmarkEnd w:id="0"/>
      <w:r w:rsidRPr="009A0C03">
        <w:rPr>
          <w:rFonts w:ascii="Calibri" w:eastAsia="Times New Roman" w:hAnsi="Calibri" w:cs="Times New Roman"/>
          <w:b/>
          <w:bCs/>
          <w:color w:val="000000" w:themeColor="text1"/>
          <w:kern w:val="24"/>
          <w:sz w:val="24"/>
          <w:szCs w:val="24"/>
          <w:lang w:eastAsia="pt-BR"/>
        </w:rPr>
        <w:tab/>
      </w:r>
    </w:p>
    <w:p w:rsidR="007369C2" w:rsidRDefault="007369C2" w:rsidP="007369C2">
      <w:pPr>
        <w:tabs>
          <w:tab w:val="right" w:pos="8365"/>
        </w:tabs>
        <w:kinsoku w:val="0"/>
        <w:overflowPunct w:val="0"/>
        <w:spacing w:after="0" w:line="240" w:lineRule="auto"/>
        <w:ind w:left="-454" w:right="-510"/>
        <w:jc w:val="both"/>
        <w:textAlignment w:val="baseline"/>
        <w:rPr>
          <w:rFonts w:ascii="Times New Roman" w:eastAsia="Times New Roman" w:hAnsi="Times New Roman" w:cs="Times New Roman"/>
          <w:sz w:val="24"/>
          <w:szCs w:val="24"/>
          <w:lang w:eastAsia="pt-BR"/>
        </w:rPr>
      </w:pPr>
      <w:r w:rsidRPr="009A0C03">
        <w:rPr>
          <w:rFonts w:ascii="Calibri" w:eastAsia="Times New Roman" w:hAnsi="Calibri" w:cs="Times New Roman"/>
          <w:b/>
          <w:bCs/>
          <w:color w:val="000000" w:themeColor="text1"/>
          <w:kern w:val="24"/>
          <w:sz w:val="28"/>
          <w:szCs w:val="28"/>
          <w:u w:val="single"/>
          <w:lang w:eastAsia="pt-BR"/>
        </w:rPr>
        <w:t>Metodologia e plano amostral</w:t>
      </w:r>
      <w:r w:rsidRPr="009A0C03">
        <w:rPr>
          <w:rFonts w:ascii="Calibri" w:eastAsia="Times New Roman" w:hAnsi="Calibri" w:cs="Times New Roman"/>
          <w:b/>
          <w:bCs/>
          <w:color w:val="000000" w:themeColor="text1"/>
          <w:kern w:val="24"/>
          <w:sz w:val="24"/>
          <w:szCs w:val="24"/>
          <w:lang w:eastAsia="pt-BR"/>
        </w:rPr>
        <w:t>: Utilizou-se o m</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todo de amostragem estratificada proporcional com probabilidade proporcional ao tamanho (PPT) em 03 est</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gios. No primeiro est</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gio separam-se os Distritos censit</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rios (Distrito 05 (urbano/sede do munic</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pio e Distritos e povoados rurais) usando-se o m</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todo PPT (probabilidade proporcional ao tamanho. No segundo est</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gio são selecionados os setores censit</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 xml:space="preserve">rios do Distrito 05 </w:t>
      </w:r>
      <w:r w:rsidRPr="009A0C03">
        <w:rPr>
          <w:rFonts w:ascii="Cambria" w:eastAsia="Times New Roman" w:hAnsi="Cambria" w:cs="Times New Roman"/>
          <w:b/>
          <w:bCs/>
          <w:color w:val="000000" w:themeColor="text1"/>
          <w:kern w:val="24"/>
          <w:sz w:val="24"/>
          <w:szCs w:val="24"/>
          <w:lang w:eastAsia="pt-BR"/>
        </w:rPr>
        <w:t>–</w:t>
      </w:r>
      <w:r w:rsidRPr="009A0C03">
        <w:rPr>
          <w:rFonts w:ascii="Calibri" w:eastAsia="Times New Roman" w:hAnsi="Calibri" w:cs="Times New Roman"/>
          <w:b/>
          <w:bCs/>
          <w:color w:val="000000" w:themeColor="text1"/>
          <w:kern w:val="24"/>
          <w:sz w:val="24"/>
          <w:szCs w:val="24"/>
          <w:lang w:eastAsia="pt-BR"/>
        </w:rPr>
        <w:t xml:space="preserve"> sede do munic</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pio com base no m</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todo PPT (probabilidade proporcional ao tamanho) e são selecionados os Distritos e povoados rurais com base no m</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todo PPT (probabilidade proporcional ao tamanho). A medida de tamanho adotada para a sele</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 xml:space="preserve">ão dos Distritos e setores </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 xml:space="preserve"> a popula</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 xml:space="preserve">ão residente nessas </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reas, de acordo com dados censit</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rios disponibilizados pelo Instituto Brasileiro de geografia e estat</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stica (IBGE). No terceiro est</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gio são definidas as cotas de sexo, idade, escolaridade e renda domiciliar com base em informa</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ões estat</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sticas disponibilizadas pelo Tribunal Superior eleitoral (TSE) e Instituto Brasileiro de geografia e estat</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 xml:space="preserve">stica (IBGE). O controle das cotas sexo, idade, escolaridade e renda domiciliar </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 xml:space="preserve"> feito pela equipe de supervisores e pesquisadores que compõe a pesquisa. </w:t>
      </w:r>
      <w:r w:rsidRPr="009A0C03">
        <w:rPr>
          <w:rFonts w:ascii="Calibri" w:eastAsia="Times New Roman" w:hAnsi="Calibri" w:cs="Times New Roman"/>
          <w:b/>
          <w:bCs/>
          <w:color w:val="000000" w:themeColor="text1"/>
          <w:kern w:val="24"/>
          <w:sz w:val="24"/>
          <w:szCs w:val="24"/>
          <w:u w:val="single"/>
          <w:lang w:eastAsia="pt-BR"/>
        </w:rPr>
        <w:t>Perfil da amostra:</w:t>
      </w:r>
      <w:r>
        <w:rPr>
          <w:rFonts w:eastAsiaTheme="minorEastAsia" w:hAnsi="Calibri"/>
          <w:b/>
          <w:bCs/>
          <w:color w:val="000000" w:themeColor="text1"/>
          <w:kern w:val="24"/>
          <w:sz w:val="24"/>
          <w:szCs w:val="24"/>
          <w:lang w:eastAsia="pt-BR"/>
        </w:rPr>
        <w:t xml:space="preserve"> Masculino 48,2%, Feminino 51,8%; 16 a 34 anos 40,9%, 35 a 59 anos 40,0% e 60 anos ou mais 19,1</w:t>
      </w:r>
      <w:r w:rsidRPr="009A0C03">
        <w:rPr>
          <w:rFonts w:eastAsiaTheme="minorEastAsia" w:hAnsi="Calibri"/>
          <w:b/>
          <w:bCs/>
          <w:color w:val="000000" w:themeColor="text1"/>
          <w:kern w:val="24"/>
          <w:sz w:val="24"/>
          <w:szCs w:val="24"/>
          <w:lang w:eastAsia="pt-BR"/>
        </w:rPr>
        <w:t>%</w:t>
      </w:r>
      <w:r w:rsidRPr="009A0C03">
        <w:rPr>
          <w:rFonts w:ascii="Calibri" w:eastAsia="Times New Roman" w:hAnsi="Calibri" w:cs="Times New Roman"/>
          <w:b/>
          <w:bCs/>
          <w:color w:val="000000" w:themeColor="text1"/>
          <w:kern w:val="24"/>
          <w:sz w:val="24"/>
          <w:szCs w:val="24"/>
          <w:lang w:eastAsia="pt-BR"/>
        </w:rPr>
        <w:t>. Eram previstas eventuais pondera</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ões para as vari</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veis sexo e idade caso a diferen</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a entre o previsto na amostra e a coleta dos dados fosse superior a 3 pontos percentuais; para as vari</w:t>
      </w:r>
      <w:r w:rsidRPr="009A0C03">
        <w:rPr>
          <w:rFonts w:ascii="Cambria" w:eastAsia="Times New Roman" w:hAnsi="Cambria" w:cs="Times New Roman"/>
          <w:b/>
          <w:bCs/>
          <w:color w:val="000000" w:themeColor="text1"/>
          <w:kern w:val="24"/>
          <w:sz w:val="24"/>
          <w:szCs w:val="24"/>
          <w:lang w:eastAsia="pt-BR"/>
        </w:rPr>
        <w:t>á</w:t>
      </w:r>
      <w:r w:rsidRPr="009A0C03">
        <w:rPr>
          <w:rFonts w:ascii="Calibri" w:eastAsia="Times New Roman" w:hAnsi="Calibri" w:cs="Times New Roman"/>
          <w:b/>
          <w:bCs/>
          <w:color w:val="000000" w:themeColor="text1"/>
          <w:kern w:val="24"/>
          <w:sz w:val="24"/>
          <w:szCs w:val="24"/>
          <w:lang w:eastAsia="pt-BR"/>
        </w:rPr>
        <w:t>veis escolaridade e renda domiciliar o fator previsto para pondera</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 xml:space="preserve">ão </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 xml:space="preserve"> 1 (resultados obtidos em campo). A amostra </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 xml:space="preserve"> composta por </w:t>
      </w:r>
      <w:r w:rsidRPr="009A0C03">
        <w:rPr>
          <w:rFonts w:ascii="Calibri" w:eastAsia="Times New Roman" w:hAnsi="Calibri" w:cs="Times New Roman"/>
          <w:b/>
          <w:bCs/>
          <w:color w:val="000000" w:themeColor="text1"/>
          <w:kern w:val="24"/>
          <w:sz w:val="24"/>
          <w:szCs w:val="24"/>
          <w:u w:val="single"/>
          <w:lang w:eastAsia="pt-BR"/>
        </w:rPr>
        <w:t xml:space="preserve">220 entrevistas </w:t>
      </w:r>
      <w:r w:rsidRPr="009A0C03">
        <w:rPr>
          <w:rFonts w:ascii="Calibri" w:eastAsia="Times New Roman" w:hAnsi="Calibri" w:cs="Times New Roman"/>
          <w:b/>
          <w:bCs/>
          <w:color w:val="000000" w:themeColor="text1"/>
          <w:kern w:val="24"/>
          <w:sz w:val="24"/>
          <w:szCs w:val="24"/>
          <w:lang w:eastAsia="pt-BR"/>
        </w:rPr>
        <w:t>aplicadas na popula</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ão que tenha t</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tulo de eleitor, more e vote no munic</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pio de Sertânia e distribu</w:t>
      </w:r>
      <w:r w:rsidRPr="009A0C03">
        <w:rPr>
          <w:rFonts w:ascii="Cambria" w:eastAsia="Times New Roman" w:hAnsi="Cambria" w:cs="Times New Roman"/>
          <w:b/>
          <w:bCs/>
          <w:color w:val="000000" w:themeColor="text1"/>
          <w:kern w:val="24"/>
          <w:sz w:val="24"/>
          <w:szCs w:val="24"/>
          <w:lang w:eastAsia="pt-BR"/>
        </w:rPr>
        <w:t>í</w:t>
      </w:r>
      <w:r w:rsidRPr="009A0C03">
        <w:rPr>
          <w:rFonts w:ascii="Calibri" w:eastAsia="Times New Roman" w:hAnsi="Calibri" w:cs="Times New Roman"/>
          <w:b/>
          <w:bCs/>
          <w:color w:val="000000" w:themeColor="text1"/>
          <w:kern w:val="24"/>
          <w:sz w:val="24"/>
          <w:szCs w:val="24"/>
          <w:lang w:eastAsia="pt-BR"/>
        </w:rPr>
        <w:t xml:space="preserve">da da seguinte forma: </w:t>
      </w:r>
      <w:r w:rsidRPr="009A0C03">
        <w:rPr>
          <w:rFonts w:ascii="Calibri" w:eastAsia="Times New Roman" w:hAnsi="Calibri" w:cs="Times New Roman"/>
          <w:b/>
          <w:bCs/>
          <w:color w:val="000000" w:themeColor="text1"/>
          <w:kern w:val="24"/>
          <w:sz w:val="24"/>
          <w:szCs w:val="24"/>
          <w:u w:val="single"/>
          <w:lang w:eastAsia="pt-BR"/>
        </w:rPr>
        <w:t xml:space="preserve">Cidade 49,5% e </w:t>
      </w:r>
      <w:r w:rsidRPr="009A0C03">
        <w:rPr>
          <w:rFonts w:ascii="Cambria" w:eastAsia="Times New Roman" w:hAnsi="Cambria" w:cs="Times New Roman"/>
          <w:b/>
          <w:bCs/>
          <w:color w:val="000000" w:themeColor="text1"/>
          <w:kern w:val="24"/>
          <w:sz w:val="24"/>
          <w:szCs w:val="24"/>
          <w:u w:val="single"/>
          <w:lang w:eastAsia="pt-BR"/>
        </w:rPr>
        <w:t>á</w:t>
      </w:r>
      <w:r w:rsidRPr="009A0C03">
        <w:rPr>
          <w:rFonts w:ascii="Calibri" w:eastAsia="Times New Roman" w:hAnsi="Calibri" w:cs="Times New Roman"/>
          <w:b/>
          <w:bCs/>
          <w:color w:val="000000" w:themeColor="text1"/>
          <w:kern w:val="24"/>
          <w:sz w:val="24"/>
          <w:szCs w:val="24"/>
          <w:u w:val="single"/>
          <w:lang w:eastAsia="pt-BR"/>
        </w:rPr>
        <w:t xml:space="preserve">rea rural (Distritos e povoados) 50,5%. </w:t>
      </w:r>
      <w:r w:rsidRPr="009A0C03">
        <w:rPr>
          <w:rFonts w:ascii="Calibri" w:eastAsia="Times New Roman" w:hAnsi="Calibri" w:cs="Times New Roman"/>
          <w:b/>
          <w:bCs/>
          <w:color w:val="000000" w:themeColor="text1"/>
          <w:kern w:val="24"/>
          <w:sz w:val="24"/>
          <w:szCs w:val="24"/>
          <w:lang w:eastAsia="pt-BR"/>
        </w:rPr>
        <w:t>O intervalo de confian</w:t>
      </w:r>
      <w:r w:rsidRPr="009A0C03">
        <w:rPr>
          <w:rFonts w:ascii="Cambria" w:eastAsia="Times New Roman" w:hAnsi="Cambria" w:cs="Times New Roman"/>
          <w:b/>
          <w:bCs/>
          <w:color w:val="000000" w:themeColor="text1"/>
          <w:kern w:val="24"/>
          <w:sz w:val="24"/>
          <w:szCs w:val="24"/>
          <w:lang w:eastAsia="pt-BR"/>
        </w:rPr>
        <w:t>ç</w:t>
      </w:r>
      <w:r w:rsidRPr="009A0C03">
        <w:rPr>
          <w:rFonts w:ascii="Calibri" w:eastAsia="Times New Roman" w:hAnsi="Calibri" w:cs="Times New Roman"/>
          <w:b/>
          <w:bCs/>
          <w:color w:val="000000" w:themeColor="text1"/>
          <w:kern w:val="24"/>
          <w:sz w:val="24"/>
          <w:szCs w:val="24"/>
          <w:lang w:eastAsia="pt-BR"/>
        </w:rPr>
        <w:t xml:space="preserve">a estimado </w:t>
      </w:r>
      <w:r w:rsidRPr="009A0C03">
        <w:rPr>
          <w:rFonts w:ascii="Cambria" w:eastAsia="Times New Roman" w:hAnsi="Cambria" w:cs="Times New Roman"/>
          <w:b/>
          <w:bCs/>
          <w:color w:val="000000" w:themeColor="text1"/>
          <w:kern w:val="24"/>
          <w:sz w:val="24"/>
          <w:szCs w:val="24"/>
          <w:lang w:eastAsia="pt-BR"/>
        </w:rPr>
        <w:t>é</w:t>
      </w:r>
      <w:r w:rsidRPr="009A0C03">
        <w:rPr>
          <w:rFonts w:ascii="Calibri" w:eastAsia="Times New Roman" w:hAnsi="Calibri" w:cs="Times New Roman"/>
          <w:b/>
          <w:bCs/>
          <w:color w:val="000000" w:themeColor="text1"/>
          <w:kern w:val="24"/>
          <w:sz w:val="24"/>
          <w:szCs w:val="24"/>
          <w:lang w:eastAsia="pt-BR"/>
        </w:rPr>
        <w:t xml:space="preserve"> de 95% para uma margem de erro para mais ou para menos de </w:t>
      </w:r>
      <w:r w:rsidRPr="009A0C03">
        <w:rPr>
          <w:rFonts w:ascii="Calibri" w:eastAsia="Times New Roman" w:hAnsi="Calibri" w:cs="Times New Roman"/>
          <w:b/>
          <w:bCs/>
          <w:color w:val="000000" w:themeColor="text1"/>
          <w:kern w:val="24"/>
          <w:sz w:val="24"/>
          <w:szCs w:val="24"/>
          <w:u w:val="single"/>
          <w:lang w:eastAsia="pt-BR"/>
        </w:rPr>
        <w:t>6,5%</w:t>
      </w:r>
    </w:p>
    <w:p w:rsidR="007369C2" w:rsidRPr="00F50D53" w:rsidRDefault="007369C2" w:rsidP="007369C2">
      <w:pPr>
        <w:tabs>
          <w:tab w:val="right" w:pos="8365"/>
        </w:tabs>
        <w:kinsoku w:val="0"/>
        <w:overflowPunct w:val="0"/>
        <w:spacing w:after="0" w:line="240" w:lineRule="auto"/>
        <w:ind w:left="-454" w:right="-510"/>
        <w:jc w:val="center"/>
        <w:textAlignment w:val="baseline"/>
        <w:rPr>
          <w:rFonts w:ascii="Calibri" w:eastAsia="Times New Roman" w:hAnsi="Calibri" w:cs="Times New Roman"/>
          <w:b/>
          <w:bCs/>
          <w:color w:val="000000" w:themeColor="text1"/>
          <w:kern w:val="24"/>
          <w:sz w:val="28"/>
          <w:szCs w:val="28"/>
          <w:u w:val="single"/>
          <w:lang w:eastAsia="pt-BR"/>
        </w:rPr>
      </w:pPr>
      <w:r w:rsidRPr="0017301B">
        <w:rPr>
          <w:rFonts w:ascii="Calibri" w:eastAsia="Times New Roman" w:hAnsi="Calibri" w:cs="Times New Roman"/>
          <w:b/>
          <w:bCs/>
          <w:color w:val="000000" w:themeColor="text1"/>
          <w:kern w:val="24"/>
          <w:sz w:val="28"/>
          <w:szCs w:val="28"/>
          <w:u w:val="single"/>
          <w:lang w:eastAsia="pt-BR"/>
        </w:rPr>
        <w:t xml:space="preserve">Localidades que compõe cada </w:t>
      </w:r>
      <w:r w:rsidRPr="0017301B">
        <w:rPr>
          <w:rFonts w:ascii="Cambria" w:eastAsia="Times New Roman" w:hAnsi="Cambria" w:cs="Times New Roman"/>
          <w:b/>
          <w:bCs/>
          <w:color w:val="000000" w:themeColor="text1"/>
          <w:kern w:val="24"/>
          <w:sz w:val="28"/>
          <w:szCs w:val="28"/>
          <w:u w:val="single"/>
          <w:lang w:eastAsia="pt-BR"/>
        </w:rPr>
        <w:t>á</w:t>
      </w:r>
      <w:r w:rsidRPr="0017301B">
        <w:rPr>
          <w:rFonts w:ascii="Calibri" w:eastAsia="Times New Roman" w:hAnsi="Calibri" w:cs="Times New Roman"/>
          <w:b/>
          <w:bCs/>
          <w:color w:val="000000" w:themeColor="text1"/>
          <w:kern w:val="24"/>
          <w:sz w:val="28"/>
          <w:szCs w:val="28"/>
          <w:u w:val="single"/>
          <w:lang w:eastAsia="pt-BR"/>
        </w:rPr>
        <w:t>rea de planejamento</w:t>
      </w:r>
    </w:p>
    <w:p w:rsidR="007369C2" w:rsidRDefault="007369C2" w:rsidP="007369C2">
      <w:pPr>
        <w:tabs>
          <w:tab w:val="right" w:pos="8365"/>
        </w:tabs>
        <w:kinsoku w:val="0"/>
        <w:overflowPunct w:val="0"/>
        <w:spacing w:after="0" w:line="240" w:lineRule="auto"/>
        <w:ind w:left="-454" w:right="-510"/>
        <w:jc w:val="both"/>
        <w:textAlignment w:val="baseline"/>
        <w:rPr>
          <w:rFonts w:ascii="Calibri" w:eastAsia="Times New Roman" w:hAnsi="Calibri" w:cs="Times New Roman"/>
          <w:b/>
          <w:bCs/>
          <w:color w:val="000000" w:themeColor="text1"/>
          <w:kern w:val="24"/>
          <w:sz w:val="24"/>
          <w:szCs w:val="24"/>
          <w:u w:val="single"/>
          <w:lang w:eastAsia="pt-BR"/>
        </w:rPr>
      </w:pPr>
    </w:p>
    <w:tbl>
      <w:tblPr>
        <w:tblStyle w:val="Tabelacomgrade"/>
        <w:tblW w:w="9357" w:type="dxa"/>
        <w:tblInd w:w="-431" w:type="dxa"/>
        <w:tblLook w:val="04A0" w:firstRow="1" w:lastRow="0" w:firstColumn="1" w:lastColumn="0" w:noHBand="0" w:noVBand="1"/>
      </w:tblPr>
      <w:tblGrid>
        <w:gridCol w:w="1277"/>
        <w:gridCol w:w="2126"/>
        <w:gridCol w:w="1701"/>
        <w:gridCol w:w="4253"/>
      </w:tblGrid>
      <w:tr w:rsidR="007369C2" w:rsidRPr="0017301B" w:rsidTr="00D61ED4">
        <w:trPr>
          <w:trHeight w:val="681"/>
        </w:trPr>
        <w:tc>
          <w:tcPr>
            <w:tcW w:w="1277" w:type="dxa"/>
            <w:hideMark/>
          </w:tcPr>
          <w:p w:rsidR="007369C2" w:rsidRPr="003E6E58" w:rsidRDefault="007369C2" w:rsidP="00D61ED4">
            <w:pPr>
              <w:jc w:val="center"/>
              <w:textAlignment w:val="baseline"/>
              <w:rPr>
                <w:rFonts w:ascii="Times New Roman" w:eastAsia="Times New Roman" w:hAnsi="Times New Roman" w:cs="Times New Roman"/>
                <w:sz w:val="24"/>
                <w:szCs w:val="24"/>
                <w:lang w:eastAsia="pt-BR"/>
              </w:rPr>
            </w:pPr>
            <w:r w:rsidRPr="003E6E58">
              <w:rPr>
                <w:rFonts w:ascii="Times New Roman" w:eastAsia="Times New Roman" w:hAnsi="Times New Roman" w:cs="Times New Roman"/>
                <w:b/>
                <w:bCs/>
                <w:sz w:val="24"/>
                <w:szCs w:val="24"/>
                <w:lang w:eastAsia="pt-BR"/>
              </w:rPr>
              <w:t>Áreas</w:t>
            </w:r>
          </w:p>
        </w:tc>
        <w:tc>
          <w:tcPr>
            <w:tcW w:w="2126" w:type="dxa"/>
            <w:hideMark/>
          </w:tcPr>
          <w:p w:rsidR="007369C2" w:rsidRPr="003E6E58" w:rsidRDefault="007369C2" w:rsidP="00D61ED4">
            <w:pPr>
              <w:jc w:val="center"/>
              <w:textAlignment w:val="baseline"/>
              <w:rPr>
                <w:rFonts w:ascii="Times New Roman" w:eastAsia="Times New Roman" w:hAnsi="Times New Roman" w:cs="Times New Roman"/>
                <w:sz w:val="24"/>
                <w:szCs w:val="24"/>
                <w:lang w:eastAsia="pt-BR"/>
              </w:rPr>
            </w:pPr>
            <w:r w:rsidRPr="003E6E58">
              <w:rPr>
                <w:rFonts w:ascii="Times New Roman" w:eastAsia="Times New Roman" w:hAnsi="Times New Roman" w:cs="Times New Roman"/>
                <w:b/>
                <w:bCs/>
                <w:sz w:val="24"/>
                <w:szCs w:val="24"/>
                <w:lang w:eastAsia="pt-BR"/>
              </w:rPr>
              <w:t>Questionários aplicados</w:t>
            </w:r>
          </w:p>
        </w:tc>
        <w:tc>
          <w:tcPr>
            <w:tcW w:w="1701" w:type="dxa"/>
            <w:hideMark/>
          </w:tcPr>
          <w:p w:rsidR="007369C2" w:rsidRPr="003E6E58" w:rsidRDefault="007369C2" w:rsidP="00D61ED4">
            <w:pPr>
              <w:jc w:val="center"/>
              <w:textAlignment w:val="baseline"/>
              <w:rPr>
                <w:rFonts w:ascii="Times New Roman" w:eastAsia="Times New Roman" w:hAnsi="Times New Roman" w:cs="Times New Roman"/>
                <w:sz w:val="24"/>
                <w:szCs w:val="24"/>
                <w:lang w:eastAsia="pt-BR"/>
              </w:rPr>
            </w:pPr>
            <w:r w:rsidRPr="003E6E58">
              <w:rPr>
                <w:rFonts w:ascii="Times New Roman" w:eastAsia="Times New Roman" w:hAnsi="Times New Roman" w:cs="Times New Roman"/>
                <w:b/>
                <w:bCs/>
                <w:sz w:val="24"/>
                <w:szCs w:val="24"/>
                <w:lang w:eastAsia="pt-BR"/>
              </w:rPr>
              <w:t>Precisão estatística</w:t>
            </w:r>
          </w:p>
        </w:tc>
        <w:tc>
          <w:tcPr>
            <w:tcW w:w="4253" w:type="dxa"/>
            <w:hideMark/>
          </w:tcPr>
          <w:p w:rsidR="007369C2" w:rsidRPr="003E6E58" w:rsidRDefault="007369C2" w:rsidP="00D61ED4">
            <w:pPr>
              <w:jc w:val="center"/>
              <w:textAlignment w:val="baseline"/>
              <w:rPr>
                <w:rFonts w:ascii="Times New Roman" w:eastAsia="Times New Roman" w:hAnsi="Times New Roman" w:cs="Times New Roman"/>
                <w:sz w:val="24"/>
                <w:szCs w:val="24"/>
                <w:lang w:eastAsia="pt-BR"/>
              </w:rPr>
            </w:pPr>
            <w:r w:rsidRPr="003E6E58">
              <w:rPr>
                <w:rFonts w:ascii="Times New Roman" w:eastAsia="Times New Roman" w:hAnsi="Times New Roman" w:cs="Times New Roman"/>
                <w:b/>
                <w:bCs/>
                <w:sz w:val="24"/>
                <w:szCs w:val="24"/>
                <w:lang w:eastAsia="pt-BR"/>
              </w:rPr>
              <w:t>Localidades</w:t>
            </w:r>
          </w:p>
        </w:tc>
      </w:tr>
      <w:tr w:rsidR="007369C2" w:rsidRPr="003E6E58" w:rsidTr="00D61ED4">
        <w:trPr>
          <w:trHeight w:val="1839"/>
        </w:trPr>
        <w:tc>
          <w:tcPr>
            <w:tcW w:w="1277" w:type="dxa"/>
            <w:hideMark/>
          </w:tcPr>
          <w:p w:rsidR="007369C2" w:rsidRPr="003E6E58" w:rsidRDefault="007369C2" w:rsidP="00D61ED4">
            <w:pPr>
              <w:jc w:val="center"/>
              <w:textAlignment w:val="baseline"/>
              <w:rPr>
                <w:rFonts w:eastAsia="Times New Roman" w:cstheme="minorHAnsi"/>
                <w:sz w:val="24"/>
                <w:szCs w:val="24"/>
                <w:lang w:eastAsia="pt-BR"/>
              </w:rPr>
            </w:pPr>
            <w:r w:rsidRPr="003E6E58">
              <w:rPr>
                <w:rFonts w:eastAsia="Times New Roman" w:cstheme="minorHAnsi"/>
                <w:b/>
                <w:bCs/>
                <w:sz w:val="24"/>
                <w:szCs w:val="24"/>
                <w:lang w:eastAsia="pt-BR"/>
              </w:rPr>
              <w:t>R1</w:t>
            </w:r>
          </w:p>
        </w:tc>
        <w:tc>
          <w:tcPr>
            <w:tcW w:w="2126" w:type="dxa"/>
            <w:hideMark/>
          </w:tcPr>
          <w:p w:rsidR="007369C2" w:rsidRPr="003E6E58" w:rsidRDefault="007369C2" w:rsidP="00D61ED4">
            <w:pPr>
              <w:jc w:val="center"/>
              <w:textAlignment w:val="baseline"/>
              <w:rPr>
                <w:rFonts w:eastAsia="Times New Roman" w:cstheme="minorHAnsi"/>
                <w:sz w:val="24"/>
                <w:szCs w:val="24"/>
                <w:lang w:eastAsia="pt-BR"/>
              </w:rPr>
            </w:pPr>
            <w:r w:rsidRPr="003E6E58">
              <w:rPr>
                <w:rFonts w:eastAsia="Times New Roman" w:cstheme="minorHAnsi"/>
                <w:b/>
                <w:bCs/>
                <w:sz w:val="24"/>
                <w:szCs w:val="24"/>
                <w:lang w:eastAsia="pt-BR"/>
              </w:rPr>
              <w:t>109</w:t>
            </w:r>
          </w:p>
        </w:tc>
        <w:tc>
          <w:tcPr>
            <w:tcW w:w="1701" w:type="dxa"/>
            <w:hideMark/>
          </w:tcPr>
          <w:p w:rsidR="007369C2" w:rsidRPr="003E6E58" w:rsidRDefault="007369C2" w:rsidP="00D61ED4">
            <w:pPr>
              <w:jc w:val="center"/>
              <w:textAlignment w:val="baseline"/>
              <w:rPr>
                <w:rFonts w:eastAsia="Times New Roman" w:cstheme="minorHAnsi"/>
                <w:sz w:val="24"/>
                <w:szCs w:val="24"/>
                <w:lang w:eastAsia="pt-BR"/>
              </w:rPr>
            </w:pPr>
            <w:r w:rsidRPr="003E6E58">
              <w:rPr>
                <w:rFonts w:eastAsia="Times New Roman" w:cstheme="minorHAnsi"/>
                <w:b/>
                <w:bCs/>
                <w:sz w:val="24"/>
                <w:szCs w:val="24"/>
                <w:lang w:eastAsia="pt-BR"/>
              </w:rPr>
              <w:t>9,5%</w:t>
            </w:r>
          </w:p>
        </w:tc>
        <w:tc>
          <w:tcPr>
            <w:tcW w:w="4253" w:type="dxa"/>
            <w:hideMark/>
          </w:tcPr>
          <w:p w:rsidR="007369C2" w:rsidRPr="003E6E58" w:rsidRDefault="007369C2" w:rsidP="00D61ED4">
            <w:pPr>
              <w:jc w:val="both"/>
              <w:textAlignment w:val="baseline"/>
              <w:rPr>
                <w:rFonts w:eastAsia="Times New Roman" w:cstheme="minorHAnsi"/>
                <w:sz w:val="24"/>
                <w:szCs w:val="24"/>
                <w:lang w:eastAsia="pt-BR"/>
              </w:rPr>
            </w:pPr>
            <w:r w:rsidRPr="003E6E58">
              <w:rPr>
                <w:rFonts w:eastAsia="Times New Roman" w:cstheme="minorHAnsi"/>
                <w:b/>
                <w:bCs/>
                <w:sz w:val="24"/>
                <w:szCs w:val="24"/>
                <w:lang w:eastAsia="pt-BR"/>
              </w:rPr>
              <w:t>Cidade: Alto da Conceição, Nova Sertânia, Jardim COCANE, Pedra Grande, Ferro Novo, Ferro Velho, Alto do Cemitério, Alto da Cerâmica, Alto do Rio Branco, Odilon Pierre, Mário Melo Nova, Alto do Céu e Vila da Caixa</w:t>
            </w:r>
          </w:p>
        </w:tc>
      </w:tr>
      <w:tr w:rsidR="007369C2" w:rsidRPr="003E6E58" w:rsidTr="00D61ED4">
        <w:trPr>
          <w:trHeight w:val="1574"/>
        </w:trPr>
        <w:tc>
          <w:tcPr>
            <w:tcW w:w="1277" w:type="dxa"/>
            <w:hideMark/>
          </w:tcPr>
          <w:p w:rsidR="007369C2" w:rsidRPr="003E6E58" w:rsidRDefault="007369C2" w:rsidP="00D61ED4">
            <w:pPr>
              <w:jc w:val="center"/>
              <w:textAlignment w:val="baseline"/>
              <w:rPr>
                <w:rFonts w:eastAsia="Times New Roman" w:cstheme="minorHAnsi"/>
                <w:sz w:val="24"/>
                <w:szCs w:val="24"/>
                <w:lang w:eastAsia="pt-BR"/>
              </w:rPr>
            </w:pPr>
            <w:r w:rsidRPr="003E6E58">
              <w:rPr>
                <w:rFonts w:eastAsia="Times New Roman" w:cstheme="minorHAnsi"/>
                <w:b/>
                <w:bCs/>
                <w:sz w:val="24"/>
                <w:szCs w:val="24"/>
                <w:lang w:eastAsia="pt-BR"/>
              </w:rPr>
              <w:t>R2</w:t>
            </w:r>
          </w:p>
        </w:tc>
        <w:tc>
          <w:tcPr>
            <w:tcW w:w="2126" w:type="dxa"/>
            <w:hideMark/>
          </w:tcPr>
          <w:p w:rsidR="007369C2" w:rsidRPr="003E6E58" w:rsidRDefault="007369C2" w:rsidP="00D61ED4">
            <w:pPr>
              <w:jc w:val="center"/>
              <w:textAlignment w:val="baseline"/>
              <w:rPr>
                <w:rFonts w:eastAsia="Times New Roman" w:cstheme="minorHAnsi"/>
                <w:sz w:val="24"/>
                <w:szCs w:val="24"/>
                <w:lang w:eastAsia="pt-BR"/>
              </w:rPr>
            </w:pPr>
            <w:r w:rsidRPr="003E6E58">
              <w:rPr>
                <w:rFonts w:eastAsia="Times New Roman" w:cstheme="minorHAnsi"/>
                <w:b/>
                <w:bCs/>
                <w:sz w:val="24"/>
                <w:szCs w:val="24"/>
                <w:lang w:eastAsia="pt-BR"/>
              </w:rPr>
              <w:t>111</w:t>
            </w:r>
          </w:p>
        </w:tc>
        <w:tc>
          <w:tcPr>
            <w:tcW w:w="1701" w:type="dxa"/>
            <w:hideMark/>
          </w:tcPr>
          <w:p w:rsidR="007369C2" w:rsidRPr="003E6E58" w:rsidRDefault="007369C2" w:rsidP="00D61ED4">
            <w:pPr>
              <w:jc w:val="center"/>
              <w:textAlignment w:val="baseline"/>
              <w:rPr>
                <w:rFonts w:eastAsia="Times New Roman" w:cstheme="minorHAnsi"/>
                <w:sz w:val="24"/>
                <w:szCs w:val="24"/>
                <w:lang w:eastAsia="pt-BR"/>
              </w:rPr>
            </w:pPr>
            <w:r w:rsidRPr="003E6E58">
              <w:rPr>
                <w:rFonts w:eastAsia="Times New Roman" w:cstheme="minorHAnsi"/>
                <w:b/>
                <w:bCs/>
                <w:sz w:val="24"/>
                <w:szCs w:val="24"/>
                <w:lang w:eastAsia="pt-BR"/>
              </w:rPr>
              <w:t>9,6%</w:t>
            </w:r>
          </w:p>
        </w:tc>
        <w:tc>
          <w:tcPr>
            <w:tcW w:w="4253" w:type="dxa"/>
            <w:hideMark/>
          </w:tcPr>
          <w:p w:rsidR="007369C2" w:rsidRPr="003E6E58" w:rsidRDefault="007369C2" w:rsidP="00D61ED4">
            <w:pPr>
              <w:jc w:val="both"/>
              <w:textAlignment w:val="baseline"/>
              <w:rPr>
                <w:rFonts w:eastAsia="Times New Roman" w:cstheme="minorHAnsi"/>
                <w:sz w:val="24"/>
                <w:szCs w:val="24"/>
                <w:lang w:eastAsia="pt-BR"/>
              </w:rPr>
            </w:pPr>
            <w:r w:rsidRPr="003E6E58">
              <w:rPr>
                <w:rFonts w:eastAsia="Times New Roman" w:cstheme="minorHAnsi"/>
                <w:b/>
                <w:bCs/>
                <w:sz w:val="24"/>
                <w:szCs w:val="24"/>
                <w:lang w:eastAsia="pt-BR"/>
              </w:rPr>
              <w:t xml:space="preserve">Distritos e Povoados: Rio da Barra, Valdemar Siqueira, </w:t>
            </w:r>
            <w:proofErr w:type="spellStart"/>
            <w:r w:rsidRPr="003E6E58">
              <w:rPr>
                <w:rFonts w:eastAsia="Times New Roman" w:cstheme="minorHAnsi"/>
                <w:b/>
                <w:bCs/>
                <w:sz w:val="24"/>
                <w:szCs w:val="24"/>
                <w:lang w:eastAsia="pt-BR"/>
              </w:rPr>
              <w:t>Caroalina</w:t>
            </w:r>
            <w:proofErr w:type="spellEnd"/>
            <w:r w:rsidRPr="003E6E58">
              <w:rPr>
                <w:rFonts w:eastAsia="Times New Roman" w:cstheme="minorHAnsi"/>
                <w:b/>
                <w:bCs/>
                <w:sz w:val="24"/>
                <w:szCs w:val="24"/>
                <w:lang w:eastAsia="pt-BR"/>
              </w:rPr>
              <w:t>, Várzea Velha, Algodões, Cruzeiro do Nordeste, Moderna, Umburanas, Henrique Dias, Caroá, Albuquerque Né e Pernambuquinho</w:t>
            </w:r>
          </w:p>
        </w:tc>
      </w:tr>
    </w:tbl>
    <w:p w:rsidR="007369C2" w:rsidRPr="003E6E58" w:rsidRDefault="007369C2" w:rsidP="007369C2">
      <w:pPr>
        <w:tabs>
          <w:tab w:val="right" w:pos="8365"/>
        </w:tabs>
        <w:kinsoku w:val="0"/>
        <w:overflowPunct w:val="0"/>
        <w:spacing w:after="0" w:line="240" w:lineRule="auto"/>
        <w:ind w:right="-510"/>
        <w:jc w:val="both"/>
        <w:textAlignment w:val="baseline"/>
        <w:rPr>
          <w:rFonts w:ascii="Times New Roman" w:eastAsia="Times New Roman" w:hAnsi="Times New Roman" w:cs="Times New Roman"/>
          <w:sz w:val="24"/>
          <w:szCs w:val="24"/>
          <w:lang w:eastAsia="pt-BR"/>
        </w:rPr>
      </w:pPr>
    </w:p>
    <w:p w:rsidR="008A78A5" w:rsidRDefault="008A78A5"/>
    <w:p w:rsidR="007369C2" w:rsidRDefault="007369C2" w:rsidP="007369C2">
      <w:pPr>
        <w:jc w:val="center"/>
        <w:rPr>
          <w:b/>
          <w:sz w:val="28"/>
          <w:szCs w:val="28"/>
        </w:rPr>
      </w:pPr>
      <w:r w:rsidRPr="007369C2">
        <w:rPr>
          <w:b/>
          <w:sz w:val="28"/>
          <w:szCs w:val="28"/>
        </w:rPr>
        <w:lastRenderedPageBreak/>
        <w:t>Aprovação X desaprovação do governo do prefeito Ângelo Ferreira</w:t>
      </w:r>
    </w:p>
    <w:p w:rsidR="007369C2" w:rsidRDefault="007369C2" w:rsidP="007369C2">
      <w:pPr>
        <w:jc w:val="center"/>
        <w:rPr>
          <w:b/>
          <w:sz w:val="28"/>
          <w:szCs w:val="28"/>
        </w:rPr>
      </w:pPr>
    </w:p>
    <w:p w:rsidR="007369C2" w:rsidRDefault="007369C2" w:rsidP="007369C2">
      <w:pPr>
        <w:jc w:val="center"/>
        <w:rPr>
          <w:b/>
          <w:sz w:val="28"/>
          <w:szCs w:val="28"/>
        </w:rPr>
      </w:pPr>
      <w:r>
        <w:rPr>
          <w:b/>
          <w:noProof/>
          <w:sz w:val="28"/>
          <w:szCs w:val="28"/>
          <w:lang w:eastAsia="pt-BR"/>
        </w:rPr>
        <w:drawing>
          <wp:inline distT="0" distB="0" distL="0" distR="0">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69C2" w:rsidRDefault="007369C2" w:rsidP="007369C2">
      <w:pPr>
        <w:jc w:val="center"/>
        <w:rPr>
          <w:b/>
          <w:sz w:val="28"/>
          <w:szCs w:val="28"/>
        </w:rPr>
      </w:pPr>
    </w:p>
    <w:p w:rsidR="007369C2" w:rsidRDefault="007369C2" w:rsidP="007369C2">
      <w:pPr>
        <w:jc w:val="center"/>
        <w:rPr>
          <w:b/>
          <w:sz w:val="28"/>
          <w:szCs w:val="28"/>
        </w:rPr>
      </w:pPr>
      <w:r>
        <w:rPr>
          <w:b/>
          <w:sz w:val="28"/>
          <w:szCs w:val="28"/>
        </w:rPr>
        <w:t>Classificação</w:t>
      </w:r>
      <w:r w:rsidRPr="007369C2">
        <w:rPr>
          <w:b/>
          <w:sz w:val="28"/>
          <w:szCs w:val="28"/>
        </w:rPr>
        <w:t xml:space="preserve"> do governo do prefeito Ângelo Ferreira</w:t>
      </w:r>
    </w:p>
    <w:p w:rsidR="007369C2" w:rsidRDefault="007369C2" w:rsidP="007369C2">
      <w:pPr>
        <w:jc w:val="center"/>
        <w:rPr>
          <w:b/>
          <w:sz w:val="28"/>
          <w:szCs w:val="28"/>
        </w:rPr>
      </w:pPr>
    </w:p>
    <w:p w:rsidR="007369C2" w:rsidRDefault="007369C2" w:rsidP="007369C2">
      <w:pPr>
        <w:jc w:val="center"/>
        <w:rPr>
          <w:b/>
          <w:sz w:val="28"/>
          <w:szCs w:val="28"/>
        </w:rPr>
      </w:pPr>
      <w:r>
        <w:rPr>
          <w:b/>
          <w:noProof/>
          <w:sz w:val="28"/>
          <w:szCs w:val="28"/>
          <w:lang w:eastAsia="pt-BR"/>
        </w:rPr>
        <w:drawing>
          <wp:inline distT="0" distB="0" distL="0" distR="0" wp14:anchorId="2BA1AFA5" wp14:editId="74DC256E">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69C2" w:rsidRDefault="007369C2" w:rsidP="007369C2">
      <w:pPr>
        <w:jc w:val="center"/>
        <w:rPr>
          <w:b/>
          <w:sz w:val="28"/>
          <w:szCs w:val="28"/>
        </w:rPr>
      </w:pPr>
    </w:p>
    <w:p w:rsidR="007369C2" w:rsidRDefault="007369C2" w:rsidP="007369C2">
      <w:pPr>
        <w:jc w:val="center"/>
        <w:rPr>
          <w:b/>
          <w:sz w:val="28"/>
          <w:szCs w:val="28"/>
        </w:rPr>
      </w:pPr>
    </w:p>
    <w:p w:rsidR="007369C2" w:rsidRDefault="007369C2" w:rsidP="007369C2">
      <w:pPr>
        <w:jc w:val="center"/>
        <w:rPr>
          <w:b/>
          <w:sz w:val="28"/>
          <w:szCs w:val="28"/>
        </w:rPr>
      </w:pPr>
      <w:r>
        <w:rPr>
          <w:b/>
          <w:sz w:val="28"/>
          <w:szCs w:val="28"/>
        </w:rPr>
        <w:lastRenderedPageBreak/>
        <w:t>Nota média</w:t>
      </w:r>
      <w:r w:rsidRPr="007369C2">
        <w:rPr>
          <w:b/>
          <w:sz w:val="28"/>
          <w:szCs w:val="28"/>
        </w:rPr>
        <w:t xml:space="preserve"> do governo do prefeito Ângelo Ferreira</w:t>
      </w:r>
    </w:p>
    <w:p w:rsidR="007369C2" w:rsidRDefault="007369C2" w:rsidP="007369C2">
      <w:pPr>
        <w:jc w:val="center"/>
        <w:rPr>
          <w:b/>
          <w:sz w:val="28"/>
          <w:szCs w:val="28"/>
        </w:rPr>
      </w:pPr>
    </w:p>
    <w:p w:rsidR="007369C2" w:rsidRPr="007369C2" w:rsidRDefault="007369C2" w:rsidP="007369C2">
      <w:pPr>
        <w:jc w:val="center"/>
        <w:rPr>
          <w:b/>
          <w:sz w:val="28"/>
          <w:szCs w:val="28"/>
        </w:rPr>
      </w:pPr>
      <w:r>
        <w:rPr>
          <w:b/>
          <w:noProof/>
          <w:sz w:val="28"/>
          <w:szCs w:val="28"/>
          <w:lang w:eastAsia="pt-BR"/>
        </w:rPr>
        <w:drawing>
          <wp:inline distT="0" distB="0" distL="0" distR="0" wp14:anchorId="5347CEFF" wp14:editId="04DCEB33">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69C2" w:rsidRPr="007369C2" w:rsidRDefault="007369C2" w:rsidP="007369C2">
      <w:pPr>
        <w:jc w:val="center"/>
        <w:rPr>
          <w:b/>
          <w:sz w:val="28"/>
          <w:szCs w:val="28"/>
        </w:rPr>
      </w:pPr>
    </w:p>
    <w:p w:rsidR="007369C2" w:rsidRDefault="007369C2" w:rsidP="007369C2">
      <w:pPr>
        <w:jc w:val="center"/>
        <w:rPr>
          <w:b/>
          <w:sz w:val="28"/>
          <w:szCs w:val="28"/>
        </w:rPr>
      </w:pPr>
      <w:r>
        <w:rPr>
          <w:b/>
          <w:sz w:val="28"/>
          <w:szCs w:val="28"/>
        </w:rPr>
        <w:t>Comparativo entre o governo do prefeito Ângelo Ferreira e o governo do seu antecessor Guga Lins</w:t>
      </w:r>
    </w:p>
    <w:p w:rsidR="007369C2" w:rsidRDefault="007369C2" w:rsidP="007369C2">
      <w:pPr>
        <w:jc w:val="center"/>
        <w:rPr>
          <w:b/>
          <w:sz w:val="28"/>
          <w:szCs w:val="28"/>
        </w:rPr>
      </w:pPr>
    </w:p>
    <w:p w:rsidR="007369C2" w:rsidRDefault="007369C2" w:rsidP="007369C2">
      <w:pPr>
        <w:jc w:val="center"/>
        <w:rPr>
          <w:b/>
          <w:sz w:val="28"/>
          <w:szCs w:val="28"/>
        </w:rPr>
      </w:pPr>
      <w:r>
        <w:rPr>
          <w:b/>
          <w:noProof/>
          <w:sz w:val="28"/>
          <w:szCs w:val="28"/>
          <w:lang w:eastAsia="pt-BR"/>
        </w:rPr>
        <w:drawing>
          <wp:inline distT="0" distB="0" distL="0" distR="0" wp14:anchorId="6025FF64" wp14:editId="2CC385B8">
            <wp:extent cx="5400040" cy="3150235"/>
            <wp:effectExtent l="0" t="0" r="10160"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69C2" w:rsidRPr="007369C2" w:rsidRDefault="007369C2" w:rsidP="007369C2">
      <w:pPr>
        <w:jc w:val="center"/>
        <w:rPr>
          <w:b/>
          <w:sz w:val="28"/>
          <w:szCs w:val="28"/>
        </w:rPr>
      </w:pPr>
    </w:p>
    <w:sectPr w:rsidR="007369C2" w:rsidRPr="007369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C2"/>
    <w:rsid w:val="004E0B4B"/>
    <w:rsid w:val="007369C2"/>
    <w:rsid w:val="008A78A5"/>
    <w:rsid w:val="00AA2C6D"/>
    <w:rsid w:val="00D53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69C2"/>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39"/>
    <w:rsid w:val="00736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E0B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0B4B"/>
    <w:rPr>
      <w:rFonts w:ascii="Tahoma" w:hAnsi="Tahoma" w:cs="Tahoma"/>
      <w:sz w:val="16"/>
      <w:szCs w:val="16"/>
    </w:rPr>
  </w:style>
  <w:style w:type="paragraph" w:styleId="SemEspaamento">
    <w:name w:val="No Spacing"/>
    <w:uiPriority w:val="1"/>
    <w:qFormat/>
    <w:rsid w:val="004E0B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69C2"/>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39"/>
    <w:rsid w:val="00736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E0B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0B4B"/>
    <w:rPr>
      <w:rFonts w:ascii="Tahoma" w:hAnsi="Tahoma" w:cs="Tahoma"/>
      <w:sz w:val="16"/>
      <w:szCs w:val="16"/>
    </w:rPr>
  </w:style>
  <w:style w:type="paragraph" w:styleId="SemEspaamento">
    <w:name w:val="No Spacing"/>
    <w:uiPriority w:val="1"/>
    <w:qFormat/>
    <w:rsid w:val="004E0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hart" Target="charts/chart3.xml"/><Relationship Id="rId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Planilha_do_Microsoft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Aprovação X Desaprovação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Aprova</c:v>
                </c:pt>
                <c:pt idx="1">
                  <c:v>Desaprova</c:v>
                </c:pt>
                <c:pt idx="2">
                  <c:v>Não opinou</c:v>
                </c:pt>
              </c:strCache>
            </c:strRef>
          </c:cat>
          <c:val>
            <c:numRef>
              <c:f>Plan1!$B$2:$B$4</c:f>
              <c:numCache>
                <c:formatCode>General</c:formatCode>
                <c:ptCount val="3"/>
                <c:pt idx="0">
                  <c:v>72.7</c:v>
                </c:pt>
                <c:pt idx="1">
                  <c:v>22.3</c:v>
                </c:pt>
                <c:pt idx="2" formatCode="0.0">
                  <c:v>5</c:v>
                </c:pt>
              </c:numCache>
            </c:numRef>
          </c:val>
        </c:ser>
        <c:dLbls>
          <c:showLegendKey val="0"/>
          <c:showVal val="0"/>
          <c:showCatName val="0"/>
          <c:showSerName val="0"/>
          <c:showPercent val="0"/>
          <c:showBubbleSize val="0"/>
        </c:dLbls>
        <c:gapWidth val="219"/>
        <c:overlap val="-27"/>
        <c:axId val="260449024"/>
        <c:axId val="260450560"/>
      </c:barChart>
      <c:catAx>
        <c:axId val="26044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0450560"/>
        <c:crosses val="autoZero"/>
        <c:auto val="1"/>
        <c:lblAlgn val="ctr"/>
        <c:lblOffset val="100"/>
        <c:noMultiLvlLbl val="0"/>
      </c:catAx>
      <c:valAx>
        <c:axId val="26045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044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Classificação do governo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Ótimo + Bom</c:v>
                </c:pt>
                <c:pt idx="1">
                  <c:v>Regular</c:v>
                </c:pt>
                <c:pt idx="2">
                  <c:v>Ruim + Péssimo</c:v>
                </c:pt>
                <c:pt idx="3">
                  <c:v>Não opinou</c:v>
                </c:pt>
              </c:strCache>
            </c:strRef>
          </c:cat>
          <c:val>
            <c:numRef>
              <c:f>Plan1!$B$2:$B$5</c:f>
              <c:numCache>
                <c:formatCode>General</c:formatCode>
                <c:ptCount val="4"/>
                <c:pt idx="0">
                  <c:v>59.1</c:v>
                </c:pt>
                <c:pt idx="1">
                  <c:v>29.5</c:v>
                </c:pt>
                <c:pt idx="2" formatCode="0.0">
                  <c:v>10.4</c:v>
                </c:pt>
                <c:pt idx="3" formatCode="0.0">
                  <c:v>1</c:v>
                </c:pt>
              </c:numCache>
            </c:numRef>
          </c:val>
        </c:ser>
        <c:dLbls>
          <c:showLegendKey val="0"/>
          <c:showVal val="0"/>
          <c:showCatName val="0"/>
          <c:showSerName val="0"/>
          <c:showPercent val="0"/>
          <c:showBubbleSize val="0"/>
        </c:dLbls>
        <c:gapWidth val="219"/>
        <c:overlap val="-27"/>
        <c:axId val="279509632"/>
        <c:axId val="279511424"/>
      </c:barChart>
      <c:catAx>
        <c:axId val="27950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79511424"/>
        <c:crosses val="autoZero"/>
        <c:auto val="1"/>
        <c:lblAlgn val="ctr"/>
        <c:lblOffset val="100"/>
        <c:noMultiLvlLbl val="0"/>
      </c:catAx>
      <c:valAx>
        <c:axId val="27951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7950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Nota média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c:f>
              <c:strCache>
                <c:ptCount val="1"/>
                <c:pt idx="0">
                  <c:v>Nota média</c:v>
                </c:pt>
              </c:strCache>
            </c:strRef>
          </c:cat>
          <c:val>
            <c:numRef>
              <c:f>Plan1!$B$2</c:f>
              <c:numCache>
                <c:formatCode>General</c:formatCode>
                <c:ptCount val="1"/>
                <c:pt idx="0">
                  <c:v>7.3</c:v>
                </c:pt>
              </c:numCache>
            </c:numRef>
          </c:val>
        </c:ser>
        <c:dLbls>
          <c:showLegendKey val="0"/>
          <c:showVal val="0"/>
          <c:showCatName val="0"/>
          <c:showSerName val="0"/>
          <c:showPercent val="0"/>
          <c:showBubbleSize val="0"/>
        </c:dLbls>
        <c:gapWidth val="219"/>
        <c:overlap val="-27"/>
        <c:axId val="279532288"/>
        <c:axId val="279533824"/>
      </c:barChart>
      <c:catAx>
        <c:axId val="27953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79533824"/>
        <c:crosses val="autoZero"/>
        <c:auto val="1"/>
        <c:lblAlgn val="ctr"/>
        <c:lblOffset val="100"/>
        <c:noMultiLvlLbl val="0"/>
      </c:catAx>
      <c:valAx>
        <c:axId val="27953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7953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Classificação do governo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Está melhor</c:v>
                </c:pt>
                <c:pt idx="1">
                  <c:v>Está igual</c:v>
                </c:pt>
                <c:pt idx="2">
                  <c:v>Está pior</c:v>
                </c:pt>
                <c:pt idx="3">
                  <c:v>Não opinou</c:v>
                </c:pt>
              </c:strCache>
            </c:strRef>
          </c:cat>
          <c:val>
            <c:numRef>
              <c:f>Plan1!$B$2:$B$5</c:f>
              <c:numCache>
                <c:formatCode>General</c:formatCode>
                <c:ptCount val="4"/>
                <c:pt idx="0">
                  <c:v>64.5</c:v>
                </c:pt>
                <c:pt idx="1">
                  <c:v>17.7</c:v>
                </c:pt>
                <c:pt idx="2" formatCode="0.0">
                  <c:v>12.3</c:v>
                </c:pt>
                <c:pt idx="3" formatCode="0.0">
                  <c:v>5.5</c:v>
                </c:pt>
              </c:numCache>
            </c:numRef>
          </c:val>
        </c:ser>
        <c:dLbls>
          <c:showLegendKey val="0"/>
          <c:showVal val="0"/>
          <c:showCatName val="0"/>
          <c:showSerName val="0"/>
          <c:showPercent val="0"/>
          <c:showBubbleSize val="0"/>
        </c:dLbls>
        <c:gapWidth val="219"/>
        <c:overlap val="-27"/>
        <c:axId val="232790656"/>
        <c:axId val="260493696"/>
      </c:barChart>
      <c:catAx>
        <c:axId val="23279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0493696"/>
        <c:crosses val="autoZero"/>
        <c:auto val="1"/>
        <c:lblAlgn val="ctr"/>
        <c:lblOffset val="100"/>
        <c:noMultiLvlLbl val="0"/>
      </c:catAx>
      <c:valAx>
        <c:axId val="26049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279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Rádio Pajeú FM</cp:lastModifiedBy>
  <cp:revision>2</cp:revision>
  <dcterms:created xsi:type="dcterms:W3CDTF">2018-12-31T13:37:00Z</dcterms:created>
  <dcterms:modified xsi:type="dcterms:W3CDTF">2018-12-31T13:37:00Z</dcterms:modified>
</cp:coreProperties>
</file>